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A3" w:rsidRDefault="00793463" w:rsidP="006300A3">
      <w:pPr>
        <w:spacing w:before="1440" w:after="240"/>
        <w:jc w:val="center"/>
      </w:pPr>
      <w:bookmarkStart w:id="0" w:name="_GoBack"/>
      <w:bookmarkEnd w:id="0"/>
      <w:r w:rsidRPr="003647A0">
        <w:t>EXPIRATION OF IRB APPROVAL</w:t>
      </w:r>
    </w:p>
    <w:p w:rsidR="00B0602E" w:rsidRPr="003647A0" w:rsidRDefault="000E2BE8" w:rsidP="00B0602E">
      <w:r>
        <w:rPr>
          <w:noProof/>
        </w:rPr>
        <w:t>June 10, 2012</w:t>
      </w:r>
    </w:p>
    <w:p w:rsidR="000A493A" w:rsidRPr="003647A0" w:rsidRDefault="000A493A">
      <w:pPr>
        <w:sectPr w:rsidR="000A493A" w:rsidRPr="003647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3647A0" w:rsidRDefault="00496191"/>
    <w:p w:rsidR="00B0602E" w:rsidRPr="003647A0" w:rsidRDefault="00931357" w:rsidP="00B0602E">
      <w:pPr>
        <w:rPr>
          <w:i/>
        </w:rPr>
      </w:pPr>
      <w:r w:rsidRPr="003647A0">
        <w:rPr>
          <w:i/>
        </w:rPr>
        <w:t>&lt;Name of Principal Investigator&gt;</w:t>
      </w:r>
    </w:p>
    <w:p w:rsidR="00931357" w:rsidRPr="003647A0" w:rsidRDefault="00931357" w:rsidP="00B0602E">
      <w:pPr>
        <w:rPr>
          <w:i/>
        </w:rPr>
      </w:pPr>
      <w:r w:rsidRPr="003647A0">
        <w:rPr>
          <w:i/>
        </w:rPr>
        <w:t>&lt;Address of Principal Investigator&gt;</w:t>
      </w:r>
    </w:p>
    <w:p w:rsidR="00931357" w:rsidRPr="003647A0" w:rsidRDefault="00931357" w:rsidP="00931357">
      <w:pPr>
        <w:rPr>
          <w:i/>
        </w:rPr>
      </w:pPr>
      <w:r w:rsidRPr="003647A0">
        <w:rPr>
          <w:i/>
        </w:rPr>
        <w:t>&lt;Phone Number of Principal Investigator&gt;</w:t>
      </w:r>
    </w:p>
    <w:p w:rsidR="00931357" w:rsidRPr="003647A0" w:rsidRDefault="00931357" w:rsidP="00931357">
      <w:pPr>
        <w:rPr>
          <w:i/>
        </w:rPr>
      </w:pPr>
      <w:r w:rsidRPr="003647A0">
        <w:rPr>
          <w:i/>
        </w:rPr>
        <w:t>&lt;Fax Number of Principal Investigator&gt;</w:t>
      </w:r>
    </w:p>
    <w:p w:rsidR="006300A3" w:rsidRDefault="00931357" w:rsidP="006300A3">
      <w:pPr>
        <w:spacing w:after="240"/>
        <w:rPr>
          <w:i/>
        </w:rPr>
      </w:pPr>
      <w:r w:rsidRPr="003647A0">
        <w:rPr>
          <w:i/>
        </w:rPr>
        <w:t>&lt;</w:t>
      </w:r>
      <w:r w:rsidR="005D0891" w:rsidRPr="003647A0">
        <w:rPr>
          <w:i/>
        </w:rPr>
        <w:t>Email Address</w:t>
      </w:r>
      <w:r w:rsidRPr="003647A0">
        <w:rPr>
          <w:i/>
        </w:rPr>
        <w:t xml:space="preserve"> of Principal Investigator&gt;</w:t>
      </w:r>
    </w:p>
    <w:p w:rsidR="006300A3" w:rsidRDefault="00DC5431" w:rsidP="006300A3">
      <w:pPr>
        <w:spacing w:after="240"/>
      </w:pPr>
      <w:r w:rsidRPr="003647A0">
        <w:t xml:space="preserve">Dear </w:t>
      </w:r>
      <w:r w:rsidR="00931357" w:rsidRPr="003647A0">
        <w:rPr>
          <w:i/>
        </w:rPr>
        <w:t>&lt;Hailing of Principal Investigator&gt;</w:t>
      </w:r>
      <w:r w:rsidRPr="003647A0">
        <w:t>:</w:t>
      </w:r>
    </w:p>
    <w:p w:rsidR="000F7C49" w:rsidRDefault="00931357" w:rsidP="006300A3">
      <w:pPr>
        <w:spacing w:after="240"/>
      </w:pPr>
      <w:r w:rsidRPr="003647A0">
        <w:t xml:space="preserve">On </w:t>
      </w:r>
      <w:r w:rsidRPr="003647A0">
        <w:rPr>
          <w:i/>
        </w:rPr>
        <w:t>&lt;</w:t>
      </w:r>
      <w:r w:rsidR="007D51F1" w:rsidRPr="003647A0">
        <w:rPr>
          <w:i/>
        </w:rPr>
        <w:t xml:space="preserve">Expiration </w:t>
      </w:r>
      <w:r w:rsidRPr="003647A0">
        <w:rPr>
          <w:i/>
        </w:rPr>
        <w:t>Date&gt;</w:t>
      </w:r>
      <w:r w:rsidRPr="003647A0">
        <w:t xml:space="preserve"> the </w:t>
      </w:r>
      <w:r w:rsidR="00373093" w:rsidRPr="003647A0">
        <w:t>IRB approval of the</w:t>
      </w:r>
      <w:r w:rsidRPr="003647A0">
        <w:t xml:space="preserve"> following </w:t>
      </w:r>
      <w:r w:rsidR="003444AA">
        <w:t>protocol</w:t>
      </w:r>
      <w:r w:rsidR="00B776A7" w:rsidRPr="003647A0">
        <w:t xml:space="preserve"> </w:t>
      </w:r>
      <w:r w:rsidR="00373093" w:rsidRPr="003647A0">
        <w:t>expired</w:t>
      </w:r>
      <w:r w:rsidRPr="003647A0">
        <w:t>:</w:t>
      </w:r>
    </w:p>
    <w:tbl>
      <w:tblPr>
        <w:tblW w:w="77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580"/>
      </w:tblGrid>
      <w:tr w:rsidR="000F7C49" w:rsidRPr="001975A0" w:rsidTr="00C31762">
        <w:tc>
          <w:tcPr>
            <w:tcW w:w="2160" w:type="dxa"/>
          </w:tcPr>
          <w:p w:rsidR="000F7C49" w:rsidRPr="001975A0" w:rsidRDefault="00B02119" w:rsidP="00C31762">
            <w:pPr>
              <w:keepNext/>
              <w:jc w:val="right"/>
            </w:pPr>
            <w:r>
              <w:t>Title:</w:t>
            </w:r>
          </w:p>
        </w:tc>
        <w:tc>
          <w:tcPr>
            <w:tcW w:w="5580" w:type="dxa"/>
          </w:tcPr>
          <w:p w:rsidR="000F7C49" w:rsidRPr="001975A0" w:rsidRDefault="000F7C49" w:rsidP="00C31762">
            <w:pPr>
              <w:keepNext/>
            </w:pPr>
          </w:p>
        </w:tc>
      </w:tr>
      <w:tr w:rsidR="000F7C49" w:rsidRPr="001975A0" w:rsidTr="00C31762">
        <w:tc>
          <w:tcPr>
            <w:tcW w:w="2160" w:type="dxa"/>
          </w:tcPr>
          <w:p w:rsidR="000F7C49" w:rsidRPr="001975A0" w:rsidRDefault="000F7C49" w:rsidP="00C31762">
            <w:pPr>
              <w:keepNext/>
              <w:jc w:val="right"/>
            </w:pPr>
            <w:r w:rsidRPr="001975A0">
              <w:t>Investigator:</w:t>
            </w:r>
          </w:p>
        </w:tc>
        <w:tc>
          <w:tcPr>
            <w:tcW w:w="5580" w:type="dxa"/>
          </w:tcPr>
          <w:p w:rsidR="000F7C49" w:rsidRPr="001975A0" w:rsidRDefault="000F7C49" w:rsidP="00C31762">
            <w:pPr>
              <w:keepNext/>
            </w:pPr>
          </w:p>
        </w:tc>
      </w:tr>
      <w:tr w:rsidR="000F7C49" w:rsidRPr="001975A0" w:rsidTr="00C31762">
        <w:tc>
          <w:tcPr>
            <w:tcW w:w="2160" w:type="dxa"/>
          </w:tcPr>
          <w:p w:rsidR="000F7C49" w:rsidRPr="001975A0" w:rsidRDefault="000F7C49" w:rsidP="00C31762">
            <w:pPr>
              <w:keepNext/>
              <w:jc w:val="right"/>
            </w:pPr>
            <w:r w:rsidRPr="001975A0">
              <w:t>IRB ID:</w:t>
            </w:r>
          </w:p>
        </w:tc>
        <w:tc>
          <w:tcPr>
            <w:tcW w:w="5580" w:type="dxa"/>
          </w:tcPr>
          <w:p w:rsidR="000F7C49" w:rsidRPr="001975A0" w:rsidRDefault="000F7C49" w:rsidP="00C31762">
            <w:pPr>
              <w:keepNext/>
            </w:pPr>
          </w:p>
        </w:tc>
      </w:tr>
      <w:tr w:rsidR="000F7C49" w:rsidRPr="001975A0" w:rsidTr="00C31762">
        <w:tc>
          <w:tcPr>
            <w:tcW w:w="2160" w:type="dxa"/>
          </w:tcPr>
          <w:p w:rsidR="000F7C49" w:rsidRPr="001975A0" w:rsidRDefault="004B3EEC" w:rsidP="00C31762">
            <w:pPr>
              <w:keepNext/>
              <w:jc w:val="right"/>
            </w:pPr>
            <w:r>
              <w:t>Funding:</w:t>
            </w:r>
          </w:p>
        </w:tc>
        <w:tc>
          <w:tcPr>
            <w:tcW w:w="5580" w:type="dxa"/>
          </w:tcPr>
          <w:p w:rsidR="000F7C49" w:rsidRPr="001975A0" w:rsidRDefault="000F7C49" w:rsidP="00C31762">
            <w:pPr>
              <w:keepNext/>
              <w:rPr>
                <w:i/>
              </w:rPr>
            </w:pPr>
          </w:p>
        </w:tc>
      </w:tr>
      <w:tr w:rsidR="000F7C49" w:rsidRPr="001975A0" w:rsidTr="00C31762">
        <w:tc>
          <w:tcPr>
            <w:tcW w:w="2160" w:type="dxa"/>
          </w:tcPr>
          <w:p w:rsidR="000F7C49" w:rsidRPr="001975A0" w:rsidRDefault="000F7C49" w:rsidP="00C31762">
            <w:pPr>
              <w:keepNext/>
              <w:jc w:val="right"/>
            </w:pPr>
            <w:r w:rsidRPr="001975A0">
              <w:t>Grant Title:</w:t>
            </w:r>
          </w:p>
        </w:tc>
        <w:tc>
          <w:tcPr>
            <w:tcW w:w="5580" w:type="dxa"/>
          </w:tcPr>
          <w:p w:rsidR="000F7C49" w:rsidRPr="001975A0" w:rsidRDefault="001A4A1E" w:rsidP="00C31762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0F7C49" w:rsidRPr="001975A0">
              <w:rPr>
                <w:i/>
              </w:rPr>
              <w:t>Indicate “None” if there is none.&gt;</w:t>
            </w:r>
          </w:p>
        </w:tc>
      </w:tr>
      <w:tr w:rsidR="000F7C49" w:rsidRPr="001975A0" w:rsidTr="00C31762">
        <w:tc>
          <w:tcPr>
            <w:tcW w:w="2160" w:type="dxa"/>
          </w:tcPr>
          <w:p w:rsidR="000F7C49" w:rsidRPr="001975A0" w:rsidRDefault="000F7C49" w:rsidP="00C31762">
            <w:pPr>
              <w:keepNext/>
              <w:jc w:val="right"/>
            </w:pPr>
            <w:r w:rsidRPr="001975A0">
              <w:t>Grant ID:</w:t>
            </w:r>
          </w:p>
        </w:tc>
        <w:tc>
          <w:tcPr>
            <w:tcW w:w="5580" w:type="dxa"/>
          </w:tcPr>
          <w:p w:rsidR="000F7C49" w:rsidRPr="001975A0" w:rsidRDefault="001A4A1E" w:rsidP="00C31762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0F7C49" w:rsidRPr="001975A0">
              <w:rPr>
                <w:i/>
              </w:rPr>
              <w:t>Indicate “None” if there is none.&gt;</w:t>
            </w:r>
          </w:p>
        </w:tc>
      </w:tr>
      <w:tr w:rsidR="000F7C49" w:rsidRPr="001975A0" w:rsidTr="00C31762">
        <w:tc>
          <w:tcPr>
            <w:tcW w:w="2160" w:type="dxa"/>
          </w:tcPr>
          <w:p w:rsidR="000F7C49" w:rsidRPr="001975A0" w:rsidRDefault="000F7C49" w:rsidP="00C31762">
            <w:pPr>
              <w:jc w:val="right"/>
            </w:pPr>
            <w:smartTag w:uri="urn:schemas-microsoft-com:office:smarttags" w:element="PostalCode">
              <w:smartTag w:uri="urn:schemas-microsoft-com:office:smarttags" w:element="State">
                <w:r w:rsidRPr="001975A0">
                  <w:t>IND</w:t>
                </w:r>
              </w:smartTag>
            </w:smartTag>
            <w:r w:rsidRPr="001975A0">
              <w:t xml:space="preserve"> or IDE:</w:t>
            </w:r>
          </w:p>
        </w:tc>
        <w:tc>
          <w:tcPr>
            <w:tcW w:w="5580" w:type="dxa"/>
          </w:tcPr>
          <w:p w:rsidR="000F7C49" w:rsidRPr="001975A0" w:rsidRDefault="001A4A1E" w:rsidP="00C31762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0F7C49" w:rsidRPr="001975A0">
              <w:rPr>
                <w:i/>
              </w:rPr>
              <w:t>Indicate “None” if there is none.&gt;</w:t>
            </w:r>
          </w:p>
        </w:tc>
      </w:tr>
    </w:tbl>
    <w:p w:rsidR="006300A3" w:rsidRDefault="00373093" w:rsidP="00130A65">
      <w:pPr>
        <w:spacing w:before="240" w:after="240"/>
      </w:pPr>
      <w:r w:rsidRPr="003647A0">
        <w:t xml:space="preserve">All research activities must stop. This includes recruitment, advertisement, screening, enrollment, consent, interventions, interactions, and </w:t>
      </w:r>
      <w:r w:rsidR="0084206B">
        <w:t xml:space="preserve">collection </w:t>
      </w:r>
      <w:r w:rsidR="00D33376">
        <w:t>or</w:t>
      </w:r>
      <w:r w:rsidR="0084206B">
        <w:t xml:space="preserve"> analysis of private</w:t>
      </w:r>
      <w:r w:rsidRPr="003647A0">
        <w:t xml:space="preserve"> identifiable information. Advertisements currently running in the media must be pulled.</w:t>
      </w:r>
    </w:p>
    <w:p w:rsidR="006300A3" w:rsidRDefault="00373093" w:rsidP="006300A3">
      <w:pPr>
        <w:spacing w:after="240"/>
        <w:rPr>
          <w:u w:val="single"/>
        </w:rPr>
      </w:pPr>
      <w:r w:rsidRPr="003647A0">
        <w:rPr>
          <w:u w:val="single"/>
        </w:rPr>
        <w:t>Continuation of research activities without prior IRB review and approval is a violation of federal regulations.</w:t>
      </w:r>
    </w:p>
    <w:p w:rsidR="006300A3" w:rsidRDefault="00373093" w:rsidP="006300A3">
      <w:pPr>
        <w:spacing w:after="240"/>
      </w:pPr>
      <w:r w:rsidRPr="003647A0">
        <w:t xml:space="preserve">If you believe that current </w:t>
      </w:r>
      <w:r w:rsidR="00B776A7" w:rsidRPr="003647A0">
        <w:t>subject</w:t>
      </w:r>
      <w:r w:rsidRPr="003647A0">
        <w:t>s are at risk of harm by stopping research procedures:</w:t>
      </w:r>
    </w:p>
    <w:p w:rsidR="009617CA" w:rsidRDefault="00373093" w:rsidP="00373093">
      <w:pPr>
        <w:numPr>
          <w:ilvl w:val="0"/>
          <w:numId w:val="4"/>
        </w:numPr>
      </w:pPr>
      <w:r w:rsidRPr="003647A0">
        <w:t xml:space="preserve">Prepare a written list of </w:t>
      </w:r>
      <w:r w:rsidR="00B776A7" w:rsidRPr="003647A0">
        <w:t>subject</w:t>
      </w:r>
      <w:r w:rsidRPr="003647A0">
        <w:t>s who will be harmed</w:t>
      </w:r>
      <w:r w:rsidR="009617CA">
        <w:t>.</w:t>
      </w:r>
    </w:p>
    <w:p w:rsidR="009617CA" w:rsidRDefault="009617CA" w:rsidP="00373093">
      <w:pPr>
        <w:numPr>
          <w:ilvl w:val="0"/>
          <w:numId w:val="4"/>
        </w:numPr>
      </w:pPr>
      <w:r>
        <w:t xml:space="preserve">Identify </w:t>
      </w:r>
      <w:r w:rsidR="00373093" w:rsidRPr="003647A0">
        <w:t>the research procedures that need to continue</w:t>
      </w:r>
      <w:r>
        <w:t>.</w:t>
      </w:r>
    </w:p>
    <w:p w:rsidR="006300A3" w:rsidRDefault="009617CA" w:rsidP="00373093">
      <w:pPr>
        <w:numPr>
          <w:ilvl w:val="0"/>
          <w:numId w:val="4"/>
        </w:numPr>
      </w:pPr>
      <w:r>
        <w:t xml:space="preserve">Describe the </w:t>
      </w:r>
      <w:r w:rsidR="00373093" w:rsidRPr="003647A0">
        <w:t>reasons that these procedures need to continue.</w:t>
      </w:r>
    </w:p>
    <w:p w:rsidR="006300A3" w:rsidRDefault="00373093" w:rsidP="006300A3">
      <w:pPr>
        <w:numPr>
          <w:ilvl w:val="0"/>
          <w:numId w:val="4"/>
        </w:numPr>
        <w:spacing w:after="240"/>
      </w:pPr>
      <w:r w:rsidRPr="003647A0">
        <w:t xml:space="preserve">Immediately </w:t>
      </w:r>
      <w:r w:rsidR="009617CA" w:rsidRPr="003647A0">
        <w:t xml:space="preserve">provide </w:t>
      </w:r>
      <w:r w:rsidRPr="003647A0">
        <w:t xml:space="preserve">the IRB </w:t>
      </w:r>
      <w:r w:rsidR="00697A0A">
        <w:t>O</w:t>
      </w:r>
      <w:r w:rsidR="00726FB2" w:rsidRPr="003647A0">
        <w:t>ffice</w:t>
      </w:r>
      <w:r w:rsidRPr="003647A0">
        <w:t xml:space="preserve"> with this </w:t>
      </w:r>
      <w:r w:rsidR="009617CA">
        <w:t>information</w:t>
      </w:r>
      <w:r w:rsidRPr="003647A0">
        <w:t>.</w:t>
      </w:r>
    </w:p>
    <w:p w:rsidR="006300A3" w:rsidRDefault="0014298F" w:rsidP="006300A3">
      <w:pPr>
        <w:spacing w:after="240"/>
      </w:pPr>
      <w:r w:rsidRPr="003647A0">
        <w:t>An IRB member</w:t>
      </w:r>
      <w:r w:rsidR="00373093" w:rsidRPr="003647A0">
        <w:t xml:space="preserve"> (if needed, in consultation with others) will decide whether there is an over-riding safety concern or ethical issue involved such that it is in the best interest of individual </w:t>
      </w:r>
      <w:r w:rsidR="00B776A7" w:rsidRPr="003647A0">
        <w:t>subject</w:t>
      </w:r>
      <w:r w:rsidR="00373093" w:rsidRPr="003647A0">
        <w:t>s.</w:t>
      </w:r>
    </w:p>
    <w:p w:rsidR="006300A3" w:rsidRDefault="00BC3146" w:rsidP="006300A3">
      <w:pPr>
        <w:spacing w:after="240"/>
      </w:pPr>
      <w:r w:rsidRPr="003647A0">
        <w:t>If you have not already done so, please submit a completed “</w:t>
      </w:r>
      <w:r w:rsidR="0062665B">
        <w:t>FORM: Continuing Review</w:t>
      </w:r>
      <w:r w:rsidR="00FC20A2">
        <w:t xml:space="preserve"> (HRP-212)</w:t>
      </w:r>
      <w:r w:rsidRPr="003647A0">
        <w:t>” and required attachments to request continuing approval or study closure.</w:t>
      </w:r>
    </w:p>
    <w:p w:rsidR="006300A3" w:rsidRDefault="00373093" w:rsidP="006300A3">
      <w:pPr>
        <w:spacing w:after="240"/>
      </w:pPr>
      <w:r w:rsidRPr="003647A0">
        <w:lastRenderedPageBreak/>
        <w:t>A copy of this letter will be forwarded to the sponsor and your supervisor.</w:t>
      </w:r>
    </w:p>
    <w:p w:rsidR="006300A3" w:rsidRDefault="00D53F11" w:rsidP="006300A3">
      <w:pPr>
        <w:spacing w:after="720"/>
      </w:pPr>
      <w:r w:rsidRPr="003647A0">
        <w:t>Sincerely,</w:t>
      </w:r>
    </w:p>
    <w:p w:rsidR="006300A3" w:rsidRDefault="00D53F11" w:rsidP="006300A3">
      <w:pPr>
        <w:spacing w:after="240"/>
      </w:pPr>
      <w:r w:rsidRPr="003647A0">
        <w:t>IRB Manager</w:t>
      </w:r>
    </w:p>
    <w:p w:rsidR="00E33C12" w:rsidRPr="003647A0" w:rsidRDefault="00D53F11" w:rsidP="00E33C12">
      <w:pPr>
        <w:ind w:left="720" w:hanging="720"/>
        <w:rPr>
          <w:i/>
        </w:rPr>
      </w:pPr>
      <w:r w:rsidRPr="003647A0">
        <w:t>cc:</w:t>
      </w:r>
      <w:r w:rsidRPr="003647A0">
        <w:tab/>
      </w:r>
      <w:r w:rsidR="00E33C12" w:rsidRPr="003647A0">
        <w:rPr>
          <w:i/>
        </w:rPr>
        <w:t>&lt;Protocol Contact&gt;</w:t>
      </w:r>
    </w:p>
    <w:p w:rsidR="003C075A" w:rsidRPr="003647A0" w:rsidRDefault="003C075A" w:rsidP="003C075A">
      <w:pPr>
        <w:ind w:left="1440" w:hanging="720"/>
        <w:rPr>
          <w:i/>
        </w:rPr>
      </w:pPr>
      <w:r w:rsidRPr="003647A0">
        <w:rPr>
          <w:i/>
        </w:rPr>
        <w:t>&lt;Chairman or Supervisor of the Principal Investigator&gt;</w:t>
      </w:r>
    </w:p>
    <w:p w:rsidR="003C075A" w:rsidRDefault="00373093" w:rsidP="00F75777">
      <w:pPr>
        <w:ind w:left="720"/>
        <w:rPr>
          <w:i/>
        </w:rPr>
      </w:pPr>
      <w:r w:rsidRPr="003647A0">
        <w:rPr>
          <w:i/>
        </w:rPr>
        <w:t>&lt;Sponsor or funding agency&gt;</w:t>
      </w:r>
    </w:p>
    <w:p w:rsidR="00B22F6F" w:rsidRPr="003647A0" w:rsidRDefault="00B22F6F" w:rsidP="006300A3">
      <w:pPr>
        <w:spacing w:after="240"/>
        <w:ind w:left="1440" w:hanging="720"/>
        <w:rPr>
          <w:i/>
        </w:rPr>
      </w:pPr>
      <w:r>
        <w:rPr>
          <w:i/>
        </w:rPr>
        <w:t>&lt;</w:t>
      </w:r>
      <w:r w:rsidR="00BA75CF">
        <w:rPr>
          <w:i/>
        </w:rPr>
        <w:t>Sponsored Projects Services (SPS)</w:t>
      </w:r>
      <w:r>
        <w:rPr>
          <w:i/>
        </w:rPr>
        <w:t>&gt;</w:t>
      </w:r>
    </w:p>
    <w:sectPr w:rsidR="00B22F6F" w:rsidRPr="003647A0" w:rsidSect="000A493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A8" w:rsidRDefault="00BE0BA8">
      <w:r>
        <w:separator/>
      </w:r>
    </w:p>
  </w:endnote>
  <w:endnote w:type="continuationSeparator" w:id="0">
    <w:p w:rsidR="00BE0BA8" w:rsidRDefault="00BE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F" w:rsidRDefault="00BA75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7B" w:rsidRDefault="00D26B7B">
    <w:pPr>
      <w:pStyle w:val="Footer"/>
    </w:pPr>
    <w:r>
      <w:tab/>
    </w:r>
    <w:r w:rsidR="00F10B44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2DB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82DB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BD7131">
      <w:rPr>
        <w:rStyle w:val="PageNumber"/>
        <w:noProof/>
        <w:sz w:val="16"/>
        <w:szCs w:val="16"/>
      </w:rPr>
      <w:t>March 25,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F" w:rsidRDefault="00BA7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A8" w:rsidRDefault="00BE0BA8">
      <w:r>
        <w:separator/>
      </w:r>
    </w:p>
  </w:footnote>
  <w:footnote w:type="continuationSeparator" w:id="0">
    <w:p w:rsidR="00BE0BA8" w:rsidRDefault="00BE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F" w:rsidRDefault="00BA75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F" w:rsidRDefault="00BA75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F" w:rsidRDefault="00BA75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15A4FFF"/>
    <w:multiLevelType w:val="hybridMultilevel"/>
    <w:tmpl w:val="661CA4F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296788C"/>
    <w:multiLevelType w:val="hybridMultilevel"/>
    <w:tmpl w:val="D730F9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0201B2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F7E238E"/>
    <w:multiLevelType w:val="hybridMultilevel"/>
    <w:tmpl w:val="83107718"/>
    <w:lvl w:ilvl="0" w:tplc="3338790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13ED7"/>
    <w:rsid w:val="00022B12"/>
    <w:rsid w:val="000401C2"/>
    <w:rsid w:val="00041328"/>
    <w:rsid w:val="00085451"/>
    <w:rsid w:val="00094711"/>
    <w:rsid w:val="000A493A"/>
    <w:rsid w:val="000D7F3F"/>
    <w:rsid w:val="000E2BE8"/>
    <w:rsid w:val="000F7C49"/>
    <w:rsid w:val="00130A65"/>
    <w:rsid w:val="0014298F"/>
    <w:rsid w:val="001A4A1E"/>
    <w:rsid w:val="001A7279"/>
    <w:rsid w:val="001B56EF"/>
    <w:rsid w:val="001D4979"/>
    <w:rsid w:val="001F6052"/>
    <w:rsid w:val="002E6187"/>
    <w:rsid w:val="00312AE3"/>
    <w:rsid w:val="00336815"/>
    <w:rsid w:val="00342C00"/>
    <w:rsid w:val="003444AA"/>
    <w:rsid w:val="003508FB"/>
    <w:rsid w:val="003552FD"/>
    <w:rsid w:val="003647A0"/>
    <w:rsid w:val="00366B3E"/>
    <w:rsid w:val="00373093"/>
    <w:rsid w:val="00380DB6"/>
    <w:rsid w:val="003A4E07"/>
    <w:rsid w:val="003C075A"/>
    <w:rsid w:val="003C5F0D"/>
    <w:rsid w:val="004043F9"/>
    <w:rsid w:val="0041102C"/>
    <w:rsid w:val="00417617"/>
    <w:rsid w:val="00432455"/>
    <w:rsid w:val="00436FF6"/>
    <w:rsid w:val="00480769"/>
    <w:rsid w:val="00496191"/>
    <w:rsid w:val="004B3EEC"/>
    <w:rsid w:val="004C382E"/>
    <w:rsid w:val="004E4878"/>
    <w:rsid w:val="00526DDE"/>
    <w:rsid w:val="00546E40"/>
    <w:rsid w:val="00592AA9"/>
    <w:rsid w:val="00597DF9"/>
    <w:rsid w:val="005B2177"/>
    <w:rsid w:val="005B4C6E"/>
    <w:rsid w:val="005D0891"/>
    <w:rsid w:val="005F56E6"/>
    <w:rsid w:val="005F6D84"/>
    <w:rsid w:val="00601E8C"/>
    <w:rsid w:val="00603923"/>
    <w:rsid w:val="00616575"/>
    <w:rsid w:val="006256E6"/>
    <w:rsid w:val="0062665B"/>
    <w:rsid w:val="006300A3"/>
    <w:rsid w:val="00631FED"/>
    <w:rsid w:val="00644336"/>
    <w:rsid w:val="00661F72"/>
    <w:rsid w:val="00662AA9"/>
    <w:rsid w:val="00682DBD"/>
    <w:rsid w:val="00697A0A"/>
    <w:rsid w:val="006A5742"/>
    <w:rsid w:val="00726FB2"/>
    <w:rsid w:val="00757320"/>
    <w:rsid w:val="00777E9A"/>
    <w:rsid w:val="00793463"/>
    <w:rsid w:val="0079437B"/>
    <w:rsid w:val="007C11D0"/>
    <w:rsid w:val="007D51F1"/>
    <w:rsid w:val="007E46F3"/>
    <w:rsid w:val="00821DB4"/>
    <w:rsid w:val="0084206B"/>
    <w:rsid w:val="0086055A"/>
    <w:rsid w:val="00870B27"/>
    <w:rsid w:val="00881340"/>
    <w:rsid w:val="00886C10"/>
    <w:rsid w:val="00892871"/>
    <w:rsid w:val="008A0B2E"/>
    <w:rsid w:val="008E31D1"/>
    <w:rsid w:val="008F52BE"/>
    <w:rsid w:val="00931357"/>
    <w:rsid w:val="009617CA"/>
    <w:rsid w:val="009A5479"/>
    <w:rsid w:val="00A203E7"/>
    <w:rsid w:val="00A20E7C"/>
    <w:rsid w:val="00A61B2D"/>
    <w:rsid w:val="00A66DC6"/>
    <w:rsid w:val="00AA62DB"/>
    <w:rsid w:val="00AC3A42"/>
    <w:rsid w:val="00AC4589"/>
    <w:rsid w:val="00B004CC"/>
    <w:rsid w:val="00B02119"/>
    <w:rsid w:val="00B0602E"/>
    <w:rsid w:val="00B22F6F"/>
    <w:rsid w:val="00B312A6"/>
    <w:rsid w:val="00B40F6C"/>
    <w:rsid w:val="00B61F10"/>
    <w:rsid w:val="00B66B66"/>
    <w:rsid w:val="00B776A7"/>
    <w:rsid w:val="00BA75CF"/>
    <w:rsid w:val="00BB049F"/>
    <w:rsid w:val="00BC3146"/>
    <w:rsid w:val="00BD7131"/>
    <w:rsid w:val="00BE0BA8"/>
    <w:rsid w:val="00C1063D"/>
    <w:rsid w:val="00C25824"/>
    <w:rsid w:val="00C31762"/>
    <w:rsid w:val="00C35AC0"/>
    <w:rsid w:val="00C53717"/>
    <w:rsid w:val="00C67A99"/>
    <w:rsid w:val="00C86F45"/>
    <w:rsid w:val="00C96847"/>
    <w:rsid w:val="00CB47D9"/>
    <w:rsid w:val="00D26B7B"/>
    <w:rsid w:val="00D309A6"/>
    <w:rsid w:val="00D33376"/>
    <w:rsid w:val="00D53F11"/>
    <w:rsid w:val="00DC2772"/>
    <w:rsid w:val="00DC5431"/>
    <w:rsid w:val="00DF5B39"/>
    <w:rsid w:val="00DF763E"/>
    <w:rsid w:val="00E33A14"/>
    <w:rsid w:val="00E33C12"/>
    <w:rsid w:val="00E34B20"/>
    <w:rsid w:val="00E40972"/>
    <w:rsid w:val="00E82EC6"/>
    <w:rsid w:val="00EB75B5"/>
    <w:rsid w:val="00EF3A72"/>
    <w:rsid w:val="00EF696D"/>
    <w:rsid w:val="00F0118D"/>
    <w:rsid w:val="00F05554"/>
    <w:rsid w:val="00F10B44"/>
    <w:rsid w:val="00F23275"/>
    <w:rsid w:val="00F244F9"/>
    <w:rsid w:val="00F37990"/>
    <w:rsid w:val="00F37DD1"/>
    <w:rsid w:val="00F745DD"/>
    <w:rsid w:val="00F75777"/>
    <w:rsid w:val="00F80C81"/>
    <w:rsid w:val="00F846FB"/>
    <w:rsid w:val="00F924E7"/>
    <w:rsid w:val="00FC20A2"/>
    <w:rsid w:val="00FC6D86"/>
    <w:rsid w:val="00FD22B4"/>
    <w:rsid w:val="00FD22F2"/>
    <w:rsid w:val="00FD7DE5"/>
    <w:rsid w:val="00FE4C2B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662AA9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5B2177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D26B7B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662AA9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5B2177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D26B7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Expiration of IRB Approval</vt:lpstr>
    </vt:vector>
  </TitlesOfParts>
  <Manager>Huron Consulting Group, Inc.</Manager>
  <Company>Huron Consulting Group, Inc.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Expiration of IRB Approval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2</cp:revision>
  <cp:lastPrinted>2013-10-24T19:00:00Z</cp:lastPrinted>
  <dcterms:created xsi:type="dcterms:W3CDTF">2014-06-10T13:19:00Z</dcterms:created>
  <dcterms:modified xsi:type="dcterms:W3CDTF">2014-06-10T13:19:00Z</dcterms:modified>
  <cp:category>TEMPLATE LETTER</cp:category>
</cp:coreProperties>
</file>